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37677" w14:textId="77777777" w:rsidR="0049417D" w:rsidRPr="00333E4A" w:rsidRDefault="00CE1605" w:rsidP="0049417D">
      <w:pPr>
        <w:tabs>
          <w:tab w:val="left" w:pos="1440"/>
        </w:tabs>
        <w:spacing w:after="120"/>
        <w:ind w:left="-360"/>
        <w:jc w:val="center"/>
        <w:rPr>
          <w:b/>
        </w:rPr>
      </w:pPr>
      <w:r w:rsidRPr="00333E4A">
        <w:rPr>
          <w:b/>
        </w:rPr>
        <w:t xml:space="preserve">              </w:t>
      </w:r>
      <w:r w:rsidR="0049417D" w:rsidRPr="00333E4A">
        <w:rPr>
          <w:b/>
        </w:rPr>
        <w:t>11. STATEMENT OF VOTED AND CHARGED EXPENDITURE</w:t>
      </w:r>
    </w:p>
    <w:p w14:paraId="2EB484C1" w14:textId="77777777" w:rsidR="0049417D" w:rsidRPr="00333E4A" w:rsidRDefault="0049417D" w:rsidP="00027D0C">
      <w:pPr>
        <w:tabs>
          <w:tab w:val="left" w:pos="1440"/>
        </w:tabs>
        <w:ind w:left="-360" w:right="-540"/>
        <w:jc w:val="right"/>
        <w:rPr>
          <w:b/>
        </w:rPr>
      </w:pPr>
      <w:r w:rsidRPr="00333E4A"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  <w:r w:rsidRPr="00333E4A">
        <w:rPr>
          <w:b/>
        </w:rPr>
        <w:t>(</w:t>
      </w:r>
      <w:r w:rsidRPr="00333E4A">
        <w:rPr>
          <w:rFonts w:ascii="Rupee Foradian" w:hAnsi="Rupee Foradian" w:cs="Arial"/>
          <w:b/>
        </w:rPr>
        <w:t>`</w:t>
      </w:r>
      <w:r w:rsidRPr="00333E4A">
        <w:rPr>
          <w:rFonts w:ascii="Arial" w:hAnsi="Arial" w:cs="Arial"/>
          <w:b/>
        </w:rPr>
        <w:t xml:space="preserve"> </w:t>
      </w:r>
      <w:r w:rsidRPr="00333E4A">
        <w:rPr>
          <w:b/>
        </w:rPr>
        <w:t>in crore)</w:t>
      </w:r>
    </w:p>
    <w:tbl>
      <w:tblPr>
        <w:tblW w:w="1026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0"/>
        <w:gridCol w:w="1170"/>
        <w:gridCol w:w="90"/>
        <w:gridCol w:w="1260"/>
        <w:gridCol w:w="1260"/>
        <w:gridCol w:w="1170"/>
        <w:gridCol w:w="1170"/>
        <w:gridCol w:w="90"/>
        <w:gridCol w:w="1260"/>
      </w:tblGrid>
      <w:tr w:rsidR="00333E4A" w:rsidRPr="00333E4A" w14:paraId="7DA94671" w14:textId="77777777" w:rsidTr="00B05627">
        <w:trPr>
          <w:cantSplit/>
          <w:trHeight w:val="216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AB91" w14:textId="77777777" w:rsidR="0049417D" w:rsidRPr="00333E4A" w:rsidRDefault="0049417D" w:rsidP="00AA3AEE">
            <w:pPr>
              <w:pStyle w:val="Heading1"/>
              <w:spacing w:before="0"/>
              <w:rPr>
                <w:rFonts w:ascii="Times New Roman" w:hAnsi="Times New Roman" w:cs="Times New Roman"/>
              </w:rPr>
            </w:pPr>
            <w:r w:rsidRPr="00333E4A">
              <w:rPr>
                <w:rFonts w:ascii="Times New Roman" w:hAnsi="Times New Roman" w:cs="Times New Roman"/>
              </w:rPr>
              <w:t>Particulars</w:t>
            </w:r>
          </w:p>
        </w:tc>
        <w:tc>
          <w:tcPr>
            <w:tcW w:w="7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B025" w14:textId="77777777" w:rsidR="0049417D" w:rsidRPr="00333E4A" w:rsidRDefault="0049417D" w:rsidP="00AA3AEE">
            <w:pPr>
              <w:jc w:val="center"/>
              <w:rPr>
                <w:b/>
              </w:rPr>
            </w:pPr>
            <w:r w:rsidRPr="00333E4A">
              <w:rPr>
                <w:b/>
              </w:rPr>
              <w:t>Actuals</w:t>
            </w:r>
          </w:p>
        </w:tc>
      </w:tr>
      <w:tr w:rsidR="00333E4A" w:rsidRPr="00333E4A" w14:paraId="457C536B" w14:textId="77777777" w:rsidTr="00B05627">
        <w:trPr>
          <w:cantSplit/>
        </w:trPr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566F" w14:textId="77777777" w:rsidR="0049417D" w:rsidRPr="00333E4A" w:rsidRDefault="0049417D" w:rsidP="00AA3AEE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C40E" w14:textId="64BB2AAB" w:rsidR="0049417D" w:rsidRPr="00333E4A" w:rsidRDefault="003B23D0" w:rsidP="001A4C04">
            <w:pPr>
              <w:jc w:val="center"/>
              <w:rPr>
                <w:b/>
              </w:rPr>
            </w:pPr>
            <w:r w:rsidRPr="00333E4A">
              <w:rPr>
                <w:b/>
              </w:rPr>
              <w:t>2023-24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1DDC" w14:textId="2752D54E" w:rsidR="0049417D" w:rsidRPr="00333E4A" w:rsidRDefault="003B23D0" w:rsidP="001A4C04">
            <w:pPr>
              <w:jc w:val="center"/>
              <w:rPr>
                <w:b/>
              </w:rPr>
            </w:pPr>
            <w:r w:rsidRPr="00333E4A">
              <w:rPr>
                <w:b/>
              </w:rPr>
              <w:t>2022-23</w:t>
            </w:r>
          </w:p>
        </w:tc>
      </w:tr>
      <w:tr w:rsidR="00333E4A" w:rsidRPr="00333E4A" w14:paraId="5FCFB100" w14:textId="77777777" w:rsidTr="00B05627">
        <w:trPr>
          <w:cantSplit/>
        </w:trPr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092F" w14:textId="77777777" w:rsidR="0049417D" w:rsidRPr="00333E4A" w:rsidRDefault="0049417D" w:rsidP="00AA3AEE">
            <w:pPr>
              <w:jc w:val="center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3DB3" w14:textId="77777777" w:rsidR="005E45DA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Charged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A58B" w14:textId="77777777" w:rsidR="0049417D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Voted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6ABD" w14:textId="77777777" w:rsidR="0049417D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A9B3" w14:textId="77777777" w:rsidR="0049417D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Charged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E26F" w14:textId="77777777" w:rsidR="0049417D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Voted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B52E" w14:textId="77777777" w:rsidR="0049417D" w:rsidRPr="00333E4A" w:rsidRDefault="0049417D" w:rsidP="00924D43">
            <w:pPr>
              <w:jc w:val="center"/>
              <w:rPr>
                <w:b/>
              </w:rPr>
            </w:pPr>
            <w:r w:rsidRPr="00333E4A">
              <w:rPr>
                <w:b/>
              </w:rPr>
              <w:t>Total</w:t>
            </w:r>
          </w:p>
        </w:tc>
      </w:tr>
      <w:tr w:rsidR="00333E4A" w:rsidRPr="00333E4A" w14:paraId="52AB3B29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409D" w14:textId="77777777" w:rsidR="003B23D0" w:rsidRPr="00333E4A" w:rsidRDefault="003B23D0" w:rsidP="003B23D0">
            <w:r w:rsidRPr="00333E4A">
              <w:t>Expenditure Heads (Revenue Account)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AB49" w14:textId="283CC5C8" w:rsidR="003B23D0" w:rsidRPr="00333E4A" w:rsidRDefault="00761281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7,111.3</w:t>
            </w:r>
            <w:r w:rsidR="00836C9C" w:rsidRPr="00333E4A">
              <w:rPr>
                <w:i/>
                <w:iCs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1111" w14:textId="7AFFEA8D" w:rsidR="003B23D0" w:rsidRPr="00333E4A" w:rsidRDefault="00761281" w:rsidP="003B23D0">
            <w:pPr>
              <w:ind w:right="-20"/>
              <w:jc w:val="right"/>
            </w:pPr>
            <w:r w:rsidRPr="00333E4A">
              <w:t>1,07,</w:t>
            </w:r>
            <w:r w:rsidR="00535509" w:rsidRPr="00333E4A">
              <w:t>629</w:t>
            </w:r>
            <w:r w:rsidRPr="00333E4A">
              <w:t>.</w:t>
            </w:r>
            <w:r w:rsidR="00535509" w:rsidRPr="00333E4A"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BBA0" w14:textId="3D2EC71E" w:rsidR="003B23D0" w:rsidRPr="00333E4A" w:rsidRDefault="007E4082" w:rsidP="007E4082">
            <w:pPr>
              <w:ind w:left="-108" w:right="-20"/>
              <w:jc w:val="right"/>
            </w:pPr>
            <w:r w:rsidRPr="00333E4A">
              <w:t>1,14,</w:t>
            </w:r>
            <w:r w:rsidR="00535509" w:rsidRPr="00333E4A">
              <w:t>740</w:t>
            </w:r>
            <w:r w:rsidRPr="00333E4A">
              <w:t>.</w:t>
            </w:r>
            <w:r w:rsidR="00535509" w:rsidRPr="00333E4A">
              <w:t>96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C1C" w14:textId="55220B7B" w:rsidR="003B23D0" w:rsidRPr="00333E4A" w:rsidRDefault="003B23D0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6,883.38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FFA0" w14:textId="161F432E" w:rsidR="003B23D0" w:rsidRPr="00333E4A" w:rsidRDefault="003B23D0" w:rsidP="003B23D0">
            <w:pPr>
              <w:ind w:right="-20"/>
              <w:jc w:val="right"/>
            </w:pPr>
            <w:r w:rsidRPr="00333E4A">
              <w:t>78,401.65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7279" w14:textId="4860F8DA" w:rsidR="003B23D0" w:rsidRPr="00333E4A" w:rsidRDefault="003B23D0" w:rsidP="003B23D0">
            <w:pPr>
              <w:ind w:right="-20"/>
              <w:jc w:val="right"/>
            </w:pPr>
            <w:r w:rsidRPr="00333E4A">
              <w:t>85,285.03</w:t>
            </w:r>
          </w:p>
        </w:tc>
      </w:tr>
      <w:tr w:rsidR="00333E4A" w:rsidRPr="00333E4A" w14:paraId="01C3C72B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7E5F" w14:textId="77777777" w:rsidR="003B23D0" w:rsidRPr="00333E4A" w:rsidRDefault="003B23D0" w:rsidP="003B23D0">
            <w:r w:rsidRPr="00333E4A">
              <w:t xml:space="preserve">Expenditure Heads (Capital Account)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C30" w14:textId="77777777" w:rsidR="003B23D0" w:rsidRPr="00333E4A" w:rsidRDefault="003B23D0" w:rsidP="003B23D0">
            <w:pPr>
              <w:ind w:right="-20"/>
              <w:jc w:val="right"/>
              <w:rPr>
                <w:i/>
                <w:iCs/>
              </w:rPr>
            </w:pPr>
          </w:p>
          <w:p w14:paraId="1D41BA43" w14:textId="589A6C5E" w:rsidR="00761281" w:rsidRPr="00333E4A" w:rsidRDefault="00761281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28.64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535" w14:textId="4EAC0045" w:rsidR="003B23D0" w:rsidRPr="00333E4A" w:rsidRDefault="00761281" w:rsidP="003B23D0">
            <w:pPr>
              <w:ind w:right="-20"/>
              <w:jc w:val="right"/>
            </w:pPr>
            <w:r w:rsidRPr="00333E4A">
              <w:t>15,390.29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CD4A" w14:textId="379327EA" w:rsidR="003B23D0" w:rsidRPr="00333E4A" w:rsidRDefault="007E4082" w:rsidP="003B23D0">
            <w:pPr>
              <w:ind w:right="-20"/>
              <w:jc w:val="right"/>
            </w:pPr>
            <w:r w:rsidRPr="00333E4A">
              <w:t>15</w:t>
            </w:r>
            <w:r w:rsidR="00761281" w:rsidRPr="00333E4A">
              <w:t>,</w:t>
            </w:r>
            <w:r w:rsidRPr="00333E4A">
              <w:t>418.93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4D40" w14:textId="4B37A56D" w:rsidR="003B23D0" w:rsidRPr="00333E4A" w:rsidRDefault="003B23D0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14.79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6105" w14:textId="30D22575" w:rsidR="003B23D0" w:rsidRPr="00333E4A" w:rsidRDefault="003B23D0" w:rsidP="003B23D0">
            <w:pPr>
              <w:ind w:right="-20"/>
              <w:jc w:val="right"/>
            </w:pPr>
            <w:r w:rsidRPr="00333E4A">
              <w:t>13,305.51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F5AE" w14:textId="08F3D1B3" w:rsidR="003B23D0" w:rsidRPr="00333E4A" w:rsidRDefault="003B23D0" w:rsidP="003B23D0">
            <w:pPr>
              <w:ind w:right="-20"/>
              <w:jc w:val="right"/>
            </w:pPr>
            <w:r w:rsidRPr="00333E4A">
              <w:t>13,320.30</w:t>
            </w:r>
          </w:p>
        </w:tc>
      </w:tr>
      <w:tr w:rsidR="00333E4A" w:rsidRPr="00333E4A" w14:paraId="7B7F8187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5D84" w14:textId="77777777" w:rsidR="003B23D0" w:rsidRPr="00333E4A" w:rsidRDefault="003B23D0" w:rsidP="003B23D0">
            <w:r w:rsidRPr="00333E4A">
              <w:t xml:space="preserve">Disbursement under Public Debt, Loans and Advances, Inter-State Settlement and Transfer to Contingency Fund (a)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60D5" w14:textId="005E6B19" w:rsidR="003B23D0" w:rsidRPr="00333E4A" w:rsidRDefault="00761281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24,112.96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87A0" w14:textId="70628F89" w:rsidR="003B23D0" w:rsidRPr="00333E4A" w:rsidRDefault="00761281" w:rsidP="003B23D0">
            <w:pPr>
              <w:ind w:right="-20"/>
              <w:jc w:val="right"/>
            </w:pPr>
            <w:r w:rsidRPr="00333E4A">
              <w:t>311.</w:t>
            </w:r>
            <w:r w:rsidR="00FA38B5" w:rsidRPr="00333E4A">
              <w:t>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BA19" w14:textId="24DF29F4" w:rsidR="003B23D0" w:rsidRPr="00333E4A" w:rsidRDefault="00761281" w:rsidP="003B23D0">
            <w:pPr>
              <w:ind w:right="-20"/>
              <w:jc w:val="right"/>
            </w:pPr>
            <w:r w:rsidRPr="00333E4A">
              <w:t>24,424.</w:t>
            </w:r>
            <w:r w:rsidR="001F4F38" w:rsidRPr="00333E4A">
              <w:t>92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3B07" w14:textId="0CC06B7D" w:rsidR="003B23D0" w:rsidRPr="00333E4A" w:rsidRDefault="003B23D0" w:rsidP="003B23D0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9,600.72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75BF" w14:textId="4CE85B5F" w:rsidR="003B23D0" w:rsidRPr="00333E4A" w:rsidRDefault="003B23D0" w:rsidP="003B23D0">
            <w:pPr>
              <w:ind w:right="-20"/>
              <w:jc w:val="right"/>
            </w:pPr>
            <w:r w:rsidRPr="00333E4A">
              <w:t>85.86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2A7A" w14:textId="090637DD" w:rsidR="003B23D0" w:rsidRPr="00333E4A" w:rsidRDefault="003B23D0" w:rsidP="003B23D0">
            <w:pPr>
              <w:ind w:right="-20"/>
              <w:jc w:val="right"/>
            </w:pPr>
            <w:r w:rsidRPr="00333E4A">
              <w:t>9,686.58</w:t>
            </w:r>
          </w:p>
        </w:tc>
      </w:tr>
      <w:tr w:rsidR="00333E4A" w:rsidRPr="00333E4A" w14:paraId="2355BB6B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17DE" w14:textId="77777777" w:rsidR="003B23D0" w:rsidRPr="00333E4A" w:rsidRDefault="003B23D0" w:rsidP="003B23D0">
            <w:pPr>
              <w:jc w:val="center"/>
              <w:rPr>
                <w:b/>
              </w:rPr>
            </w:pPr>
            <w:r w:rsidRPr="00333E4A">
              <w:rPr>
                <w:b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9B5B" w14:textId="22F17C8C" w:rsidR="003B23D0" w:rsidRPr="00333E4A" w:rsidRDefault="00B81884" w:rsidP="003B23D0">
            <w:pPr>
              <w:ind w:right="-20" w:hanging="108"/>
              <w:jc w:val="right"/>
              <w:rPr>
                <w:b/>
                <w:i/>
                <w:iCs/>
              </w:rPr>
            </w:pPr>
            <w:r w:rsidRPr="00333E4A">
              <w:rPr>
                <w:b/>
                <w:i/>
                <w:iCs/>
              </w:rPr>
              <w:t>31,252.9</w:t>
            </w:r>
            <w:r w:rsidR="00836C9C" w:rsidRPr="00333E4A">
              <w:rPr>
                <w:b/>
                <w:i/>
                <w:iCs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C7A0" w14:textId="29914223" w:rsidR="003B23D0" w:rsidRPr="00333E4A" w:rsidRDefault="00B81884" w:rsidP="003B23D0">
            <w:pPr>
              <w:ind w:right="-20"/>
              <w:jc w:val="right"/>
              <w:rPr>
                <w:b/>
              </w:rPr>
            </w:pPr>
            <w:r w:rsidRPr="00333E4A">
              <w:rPr>
                <w:b/>
              </w:rPr>
              <w:t>1,23,</w:t>
            </w:r>
            <w:r w:rsidR="00535509" w:rsidRPr="00333E4A">
              <w:rPr>
                <w:b/>
              </w:rPr>
              <w:t>331</w:t>
            </w:r>
            <w:r w:rsidRPr="00333E4A">
              <w:rPr>
                <w:b/>
              </w:rPr>
              <w:t>.</w:t>
            </w:r>
            <w:r w:rsidR="00535509" w:rsidRPr="00333E4A">
              <w:rPr>
                <w:b/>
              </w:rPr>
              <w:t>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2F9A" w14:textId="1A3EFFDF" w:rsidR="003B23D0" w:rsidRPr="00333E4A" w:rsidRDefault="00B81884" w:rsidP="003B23D0">
            <w:pPr>
              <w:ind w:right="-20" w:hanging="96"/>
              <w:jc w:val="center"/>
              <w:rPr>
                <w:b/>
              </w:rPr>
            </w:pPr>
            <w:r w:rsidRPr="00333E4A">
              <w:rPr>
                <w:b/>
              </w:rPr>
              <w:t>1,54,</w:t>
            </w:r>
            <w:r w:rsidR="00535509" w:rsidRPr="00333E4A">
              <w:rPr>
                <w:b/>
              </w:rPr>
              <w:t>584.81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DEB2" w14:textId="4E99BF6C" w:rsidR="003B23D0" w:rsidRPr="00333E4A" w:rsidRDefault="003B23D0" w:rsidP="003B23D0">
            <w:pPr>
              <w:ind w:right="-20" w:hanging="108"/>
              <w:jc w:val="right"/>
              <w:rPr>
                <w:b/>
              </w:rPr>
            </w:pPr>
            <w:r w:rsidRPr="00333E4A">
              <w:rPr>
                <w:b/>
                <w:i/>
                <w:iCs/>
              </w:rPr>
              <w:t>16,498.89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0B88" w14:textId="7B517D87" w:rsidR="003B23D0" w:rsidRPr="00333E4A" w:rsidRDefault="003B23D0" w:rsidP="003B23D0">
            <w:pPr>
              <w:ind w:right="-20"/>
              <w:jc w:val="right"/>
              <w:rPr>
                <w:b/>
              </w:rPr>
            </w:pPr>
            <w:r w:rsidRPr="00333E4A">
              <w:rPr>
                <w:b/>
              </w:rPr>
              <w:t>91,793.02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5B70" w14:textId="0049A872" w:rsidR="003B23D0" w:rsidRPr="00333E4A" w:rsidRDefault="003B23D0" w:rsidP="003B23D0">
            <w:pPr>
              <w:ind w:right="-20" w:hanging="111"/>
              <w:jc w:val="right"/>
              <w:rPr>
                <w:b/>
              </w:rPr>
            </w:pPr>
            <w:r w:rsidRPr="00333E4A">
              <w:rPr>
                <w:b/>
              </w:rPr>
              <w:t>1,08,291.91</w:t>
            </w:r>
          </w:p>
        </w:tc>
      </w:tr>
      <w:tr w:rsidR="00333E4A" w:rsidRPr="00333E4A" w14:paraId="4B38144F" w14:textId="77777777" w:rsidTr="00B05627"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3C8B8" w14:textId="3F5BDC2B" w:rsidR="003B23D0" w:rsidRPr="00333E4A" w:rsidRDefault="003B23D0" w:rsidP="003B23D0">
            <w:pPr>
              <w:ind w:right="-108"/>
              <w:rPr>
                <w:b/>
              </w:rPr>
            </w:pPr>
            <w:r w:rsidRPr="00333E4A">
              <w:rPr>
                <w:b/>
              </w:rPr>
              <w:t>(a) The figures have been arrived as follows:</w:t>
            </w:r>
            <w:r w:rsidRPr="00333E4A">
              <w:rPr>
                <w:rFonts w:ascii="Arial" w:hAnsi="Arial" w:cs="Arial"/>
                <w:b/>
              </w:rPr>
              <w:t xml:space="preserve"> -</w:t>
            </w:r>
          </w:p>
        </w:tc>
      </w:tr>
      <w:tr w:rsidR="00333E4A" w:rsidRPr="00333E4A" w14:paraId="7E52EBD2" w14:textId="77777777" w:rsidTr="00B05627">
        <w:trPr>
          <w:trHeight w:val="187"/>
        </w:trPr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FEFE5" w14:textId="77777777" w:rsidR="003B23D0" w:rsidRPr="00333E4A" w:rsidRDefault="003B23D0" w:rsidP="003B23D0">
            <w:pPr>
              <w:ind w:right="-108"/>
              <w:rPr>
                <w:b/>
              </w:rPr>
            </w:pPr>
            <w:r w:rsidRPr="00333E4A">
              <w:rPr>
                <w:b/>
              </w:rPr>
              <w:t xml:space="preserve"> Public Debt</w:t>
            </w:r>
          </w:p>
        </w:tc>
      </w:tr>
      <w:tr w:rsidR="00333E4A" w:rsidRPr="00333E4A" w14:paraId="0A41E6E4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CA01" w14:textId="77777777" w:rsidR="003B23D0" w:rsidRPr="00333E4A" w:rsidRDefault="003B23D0" w:rsidP="003B23D0">
            <w:r w:rsidRPr="00333E4A">
              <w:t xml:space="preserve">Internal Debt of the State Government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65CC" w14:textId="26884822" w:rsidR="003B23D0" w:rsidRPr="00333E4A" w:rsidRDefault="005F0FCA" w:rsidP="003B23D0">
            <w:pPr>
              <w:ind w:right="-20"/>
              <w:jc w:val="right"/>
              <w:rPr>
                <w:i/>
              </w:rPr>
            </w:pPr>
            <w:r w:rsidRPr="00333E4A">
              <w:rPr>
                <w:i/>
              </w:rPr>
              <w:t>23,873.11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305B" w14:textId="2B0C478D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E674" w14:textId="69C4194A" w:rsidR="003B23D0" w:rsidRPr="00333E4A" w:rsidRDefault="007E4082" w:rsidP="003B23D0">
            <w:pPr>
              <w:ind w:right="-20"/>
              <w:jc w:val="right"/>
              <w:rPr>
                <w:iCs/>
              </w:rPr>
            </w:pPr>
            <w:r w:rsidRPr="00333E4A">
              <w:rPr>
                <w:iCs/>
              </w:rPr>
              <w:t>23</w:t>
            </w:r>
            <w:r w:rsidR="005F0FCA" w:rsidRPr="00333E4A">
              <w:rPr>
                <w:iCs/>
              </w:rPr>
              <w:t>,</w:t>
            </w:r>
            <w:r w:rsidRPr="00333E4A">
              <w:rPr>
                <w:iCs/>
              </w:rPr>
              <w:t>873.11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D059" w14:textId="15C7D768" w:rsidR="003B23D0" w:rsidRPr="00333E4A" w:rsidRDefault="003B23D0" w:rsidP="003B23D0">
            <w:pPr>
              <w:ind w:right="-20"/>
              <w:jc w:val="right"/>
              <w:rPr>
                <w:i/>
              </w:rPr>
            </w:pPr>
            <w:r w:rsidRPr="00333E4A">
              <w:rPr>
                <w:i/>
              </w:rPr>
              <w:t>9,370.39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C8DC" w14:textId="2E9F75F1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AA8" w14:textId="367C6B21" w:rsidR="003B23D0" w:rsidRPr="00333E4A" w:rsidRDefault="003B23D0" w:rsidP="003B23D0">
            <w:pPr>
              <w:ind w:right="-20"/>
              <w:jc w:val="right"/>
              <w:rPr>
                <w:iCs/>
              </w:rPr>
            </w:pPr>
            <w:r w:rsidRPr="00333E4A">
              <w:rPr>
                <w:iCs/>
              </w:rPr>
              <w:t>9,370.39</w:t>
            </w:r>
          </w:p>
        </w:tc>
      </w:tr>
      <w:tr w:rsidR="00333E4A" w:rsidRPr="00333E4A" w14:paraId="3AF40131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3B9" w14:textId="77777777" w:rsidR="003B23D0" w:rsidRPr="00333E4A" w:rsidRDefault="003B23D0" w:rsidP="003B23D0">
            <w:r w:rsidRPr="00333E4A">
              <w:t xml:space="preserve">Loans and Advances from the Central Government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5134" w14:textId="136D5963" w:rsidR="003B23D0" w:rsidRPr="00333E4A" w:rsidRDefault="005F0FCA" w:rsidP="003B23D0">
            <w:pPr>
              <w:ind w:right="-20"/>
              <w:jc w:val="right"/>
              <w:rPr>
                <w:i/>
              </w:rPr>
            </w:pPr>
            <w:r w:rsidRPr="00333E4A">
              <w:rPr>
                <w:i/>
              </w:rPr>
              <w:t>239.85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1F4B" w14:textId="27B01C4B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4D33" w14:textId="19F41EAE" w:rsidR="003B23D0" w:rsidRPr="00333E4A" w:rsidRDefault="007E4082" w:rsidP="003B23D0">
            <w:pPr>
              <w:ind w:right="-20"/>
              <w:jc w:val="right"/>
              <w:rPr>
                <w:iCs/>
              </w:rPr>
            </w:pPr>
            <w:r w:rsidRPr="00333E4A">
              <w:rPr>
                <w:iCs/>
              </w:rPr>
              <w:t>239.85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65E9" w14:textId="5E269CE4" w:rsidR="003B23D0" w:rsidRPr="00333E4A" w:rsidRDefault="003B23D0" w:rsidP="003B23D0">
            <w:pPr>
              <w:ind w:right="-20"/>
              <w:jc w:val="right"/>
              <w:rPr>
                <w:i/>
              </w:rPr>
            </w:pPr>
            <w:r w:rsidRPr="00333E4A">
              <w:rPr>
                <w:i/>
              </w:rPr>
              <w:t>230.33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60F4" w14:textId="0A5DB0BF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4B27" w14:textId="475241AA" w:rsidR="003B23D0" w:rsidRPr="00333E4A" w:rsidRDefault="003B23D0" w:rsidP="003B23D0">
            <w:pPr>
              <w:ind w:right="-20"/>
              <w:jc w:val="right"/>
              <w:rPr>
                <w:iCs/>
              </w:rPr>
            </w:pPr>
            <w:r w:rsidRPr="00333E4A">
              <w:rPr>
                <w:iCs/>
              </w:rPr>
              <w:t>230.33</w:t>
            </w:r>
          </w:p>
        </w:tc>
      </w:tr>
      <w:tr w:rsidR="00333E4A" w:rsidRPr="00333E4A" w14:paraId="1E3299D4" w14:textId="77777777" w:rsidTr="00B05627">
        <w:trPr>
          <w:trHeight w:val="322"/>
        </w:trPr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8F77" w14:textId="771384C8" w:rsidR="003B23D0" w:rsidRPr="00333E4A" w:rsidRDefault="003B23D0" w:rsidP="003B23D0">
            <w:r w:rsidRPr="00333E4A">
              <w:rPr>
                <w:b/>
              </w:rPr>
              <w:t>Loans and Advances*</w:t>
            </w:r>
          </w:p>
        </w:tc>
      </w:tr>
      <w:tr w:rsidR="00333E4A" w:rsidRPr="00333E4A" w14:paraId="36457443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2C71" w14:textId="77777777" w:rsidR="003B23D0" w:rsidRPr="00333E4A" w:rsidRDefault="003B23D0" w:rsidP="003B23D0">
            <w:pPr>
              <w:ind w:right="-108"/>
            </w:pPr>
            <w:r w:rsidRPr="00333E4A">
              <w:t xml:space="preserve">Loans for General Services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99708" w14:textId="4D0D6105" w:rsidR="003B23D0" w:rsidRPr="00333E4A" w:rsidRDefault="005F0FCA" w:rsidP="003B23D0">
            <w:pPr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3FFA5" w14:textId="3058C748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52CE" w14:textId="07D53442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C780A" w14:textId="64E04B1A" w:rsidR="003B23D0" w:rsidRPr="00333E4A" w:rsidRDefault="003B23D0" w:rsidP="003B23D0">
            <w:pPr>
              <w:ind w:right="-20"/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5CAE2" w14:textId="0BAE1A76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5233C" w14:textId="3139D791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</w:tr>
      <w:tr w:rsidR="00333E4A" w:rsidRPr="00333E4A" w14:paraId="1414E7F9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0269" w14:textId="77777777" w:rsidR="003B23D0" w:rsidRPr="00333E4A" w:rsidRDefault="003B23D0" w:rsidP="003B23D0">
            <w:r w:rsidRPr="00333E4A">
              <w:t xml:space="preserve">Loans for Social Services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B4857" w14:textId="5711EB47" w:rsidR="003B23D0" w:rsidRPr="00333E4A" w:rsidRDefault="005F0FCA" w:rsidP="003B23D0">
            <w:pPr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31568" w14:textId="078FE69E" w:rsidR="003B23D0" w:rsidRPr="00333E4A" w:rsidRDefault="005F0FCA" w:rsidP="003B23D0">
            <w:pPr>
              <w:ind w:right="-20"/>
              <w:jc w:val="right"/>
            </w:pPr>
            <w:r w:rsidRPr="00333E4A">
              <w:t>215.90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934E3" w14:textId="48A24C7D" w:rsidR="003B23D0" w:rsidRPr="00333E4A" w:rsidRDefault="005F0FCA" w:rsidP="003B23D0">
            <w:pPr>
              <w:ind w:right="-20"/>
              <w:jc w:val="right"/>
            </w:pPr>
            <w:r w:rsidRPr="00333E4A">
              <w:t>215.90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EB6D6" w14:textId="130FA015" w:rsidR="003B23D0" w:rsidRPr="00333E4A" w:rsidRDefault="003B23D0" w:rsidP="003B23D0">
            <w:pPr>
              <w:ind w:right="-20"/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92FCC" w14:textId="597D0744" w:rsidR="003B23D0" w:rsidRPr="00333E4A" w:rsidRDefault="003B23D0" w:rsidP="003B23D0">
            <w:pPr>
              <w:ind w:right="-20"/>
              <w:jc w:val="right"/>
            </w:pPr>
            <w:r w:rsidRPr="00333E4A">
              <w:t>35.96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B68EB" w14:textId="2C8C9A0A" w:rsidR="003B23D0" w:rsidRPr="00333E4A" w:rsidRDefault="003B23D0" w:rsidP="003B23D0">
            <w:pPr>
              <w:ind w:right="-20"/>
              <w:jc w:val="right"/>
            </w:pPr>
            <w:r w:rsidRPr="00333E4A">
              <w:t>35.96</w:t>
            </w:r>
          </w:p>
        </w:tc>
      </w:tr>
      <w:tr w:rsidR="00333E4A" w:rsidRPr="00333E4A" w14:paraId="77122BC0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04D1" w14:textId="77777777" w:rsidR="003B23D0" w:rsidRPr="00333E4A" w:rsidRDefault="003B23D0" w:rsidP="003B23D0">
            <w:r w:rsidRPr="00333E4A">
              <w:t>Loans for Economic Services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72BB" w14:textId="4A1396BA" w:rsidR="003B23D0" w:rsidRPr="00333E4A" w:rsidRDefault="005F0FCA" w:rsidP="003B23D0">
            <w:pPr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3619A" w14:textId="6A1C9760" w:rsidR="003B23D0" w:rsidRPr="00333E4A" w:rsidRDefault="005F0FCA" w:rsidP="003B23D0">
            <w:pPr>
              <w:ind w:right="-20"/>
              <w:jc w:val="right"/>
            </w:pPr>
            <w:r w:rsidRPr="00333E4A">
              <w:t>95.60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42517" w14:textId="439A1C0F" w:rsidR="003B23D0" w:rsidRPr="00333E4A" w:rsidRDefault="005F0FCA" w:rsidP="003B23D0">
            <w:pPr>
              <w:ind w:right="-20"/>
              <w:jc w:val="right"/>
            </w:pPr>
            <w:r w:rsidRPr="00333E4A">
              <w:t>95.60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FBC85" w14:textId="28FE3F69" w:rsidR="003B23D0" w:rsidRPr="00333E4A" w:rsidRDefault="003B23D0" w:rsidP="003B23D0">
            <w:pPr>
              <w:ind w:right="-20"/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19FF" w14:textId="3CD36773" w:rsidR="003B23D0" w:rsidRPr="00333E4A" w:rsidRDefault="003B23D0" w:rsidP="003B23D0">
            <w:pPr>
              <w:ind w:right="-20"/>
              <w:jc w:val="right"/>
            </w:pPr>
            <w:r w:rsidRPr="00333E4A">
              <w:t>50.00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24A1D" w14:textId="15348B7C" w:rsidR="003B23D0" w:rsidRPr="00333E4A" w:rsidRDefault="003B23D0" w:rsidP="003B23D0">
            <w:pPr>
              <w:ind w:right="-20"/>
              <w:jc w:val="right"/>
            </w:pPr>
            <w:r w:rsidRPr="00333E4A">
              <w:t>50.00</w:t>
            </w:r>
          </w:p>
        </w:tc>
      </w:tr>
      <w:tr w:rsidR="00333E4A" w:rsidRPr="00333E4A" w14:paraId="3E5712CD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5047" w14:textId="77777777" w:rsidR="003B23D0" w:rsidRPr="00333E4A" w:rsidRDefault="003B23D0" w:rsidP="003B23D0">
            <w:r w:rsidRPr="00333E4A">
              <w:t xml:space="preserve">Loans to Government servants, etc.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55A15" w14:textId="75CEFF07" w:rsidR="003B23D0" w:rsidRPr="00333E4A" w:rsidRDefault="005F0FCA" w:rsidP="003B23D0">
            <w:pPr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DAA81" w14:textId="116BEFA7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2C64B" w14:textId="4DF4826F" w:rsidR="003B23D0" w:rsidRPr="00333E4A" w:rsidRDefault="005F0FCA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E0442" w14:textId="1BD7CC52" w:rsidR="003B23D0" w:rsidRPr="00333E4A" w:rsidRDefault="003B23D0" w:rsidP="003B23D0">
            <w:pPr>
              <w:ind w:right="-20"/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65016" w14:textId="40C62913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B3C5B" w14:textId="0D229C17" w:rsidR="003B23D0" w:rsidRPr="00333E4A" w:rsidRDefault="003B23D0" w:rsidP="003B23D0">
            <w:pPr>
              <w:ind w:right="-20"/>
              <w:jc w:val="right"/>
            </w:pPr>
            <w:r w:rsidRPr="00333E4A">
              <w:t>0.00</w:t>
            </w:r>
          </w:p>
        </w:tc>
      </w:tr>
      <w:tr w:rsidR="00333E4A" w:rsidRPr="00333E4A" w14:paraId="1831FDDE" w14:textId="77777777" w:rsidTr="003B23D0"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0E9A" w14:textId="77777777" w:rsidR="003B23D0" w:rsidRPr="00333E4A" w:rsidRDefault="003B23D0" w:rsidP="003B23D0">
            <w:r w:rsidRPr="00333E4A">
              <w:rPr>
                <w:b/>
              </w:rPr>
              <w:t>Inter-State Settlement</w:t>
            </w:r>
          </w:p>
        </w:tc>
      </w:tr>
      <w:tr w:rsidR="00333E4A" w:rsidRPr="00333E4A" w14:paraId="0287AB2E" w14:textId="77777777" w:rsidTr="003B23D0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F1E8" w14:textId="77777777" w:rsidR="003B23D0" w:rsidRPr="00333E4A" w:rsidRDefault="003B23D0" w:rsidP="003B23D0">
            <w:r w:rsidRPr="00333E4A">
              <w:t xml:space="preserve">Inter-State Settlement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13D53" w14:textId="0B25A9A7" w:rsidR="003B23D0" w:rsidRPr="00333E4A" w:rsidRDefault="00697366" w:rsidP="003B23D0">
            <w:pPr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A9681" w14:textId="390D99AD" w:rsidR="003B23D0" w:rsidRPr="00333E4A" w:rsidRDefault="00697366" w:rsidP="003B23D0">
            <w:pPr>
              <w:jc w:val="right"/>
            </w:pPr>
            <w:r w:rsidRPr="00333E4A">
              <w:t>0.46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CCEB9" w14:textId="5D34BCD4" w:rsidR="003B23D0" w:rsidRPr="00333E4A" w:rsidRDefault="00697366" w:rsidP="00697366">
            <w:pPr>
              <w:jc w:val="right"/>
            </w:pPr>
            <w:r w:rsidRPr="00333E4A">
              <w:t>0.46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4C59" w14:textId="5CC1FD3F" w:rsidR="003B23D0" w:rsidRPr="00333E4A" w:rsidRDefault="003B23D0" w:rsidP="003B23D0">
            <w:pPr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4D490" w14:textId="191D41AA" w:rsidR="003B23D0" w:rsidRPr="00333E4A" w:rsidRDefault="003B23D0" w:rsidP="003B23D0">
            <w:pPr>
              <w:ind w:right="-20"/>
              <w:jc w:val="right"/>
            </w:pPr>
            <w:r w:rsidRPr="00333E4A">
              <w:t>(-) 0.10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B772C" w14:textId="63E8D3F2" w:rsidR="003B23D0" w:rsidRPr="00333E4A" w:rsidRDefault="003B23D0" w:rsidP="003B23D0">
            <w:pPr>
              <w:ind w:right="-20"/>
              <w:jc w:val="right"/>
            </w:pPr>
            <w:r w:rsidRPr="00333E4A">
              <w:t>(-) 0.10</w:t>
            </w:r>
          </w:p>
        </w:tc>
      </w:tr>
      <w:tr w:rsidR="00333E4A" w:rsidRPr="00333E4A" w14:paraId="1352EBF4" w14:textId="77777777" w:rsidTr="003B23D0">
        <w:tc>
          <w:tcPr>
            <w:tcW w:w="10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AF2C" w14:textId="77777777" w:rsidR="003B23D0" w:rsidRPr="00333E4A" w:rsidRDefault="003B23D0" w:rsidP="003B23D0">
            <w:r w:rsidRPr="00333E4A">
              <w:rPr>
                <w:b/>
              </w:rPr>
              <w:t>Transfer to Contingency Fund</w:t>
            </w:r>
          </w:p>
        </w:tc>
      </w:tr>
      <w:tr w:rsidR="00333E4A" w:rsidRPr="00333E4A" w14:paraId="35469987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A643" w14:textId="77777777" w:rsidR="00A66DA9" w:rsidRPr="00333E4A" w:rsidRDefault="00A66DA9" w:rsidP="00A66DA9">
            <w:r w:rsidRPr="00333E4A">
              <w:t>Transfer to Contingency Fund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14224" w14:textId="7970AB5E" w:rsidR="00A66DA9" w:rsidRPr="00333E4A" w:rsidRDefault="00761281" w:rsidP="00A66DA9">
            <w:pPr>
              <w:ind w:right="-20"/>
              <w:jc w:val="right"/>
              <w:rPr>
                <w:i/>
                <w:iCs/>
              </w:rPr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324D6" w14:textId="2056D325" w:rsidR="00A66DA9" w:rsidRPr="00333E4A" w:rsidRDefault="00761281" w:rsidP="00A66DA9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903B3" w14:textId="68C21BC5" w:rsidR="00A66DA9" w:rsidRPr="00333E4A" w:rsidRDefault="00761281" w:rsidP="00A66DA9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FE1B1" w14:textId="036D10C0" w:rsidR="00A66DA9" w:rsidRPr="00333E4A" w:rsidRDefault="00A66DA9" w:rsidP="00A66DA9">
            <w:pPr>
              <w:ind w:right="-20"/>
              <w:jc w:val="right"/>
            </w:pPr>
            <w:r w:rsidRPr="00333E4A">
              <w:rPr>
                <w:i/>
                <w:iCs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1F9EC" w14:textId="0A2856CB" w:rsidR="00A66DA9" w:rsidRPr="00333E4A" w:rsidRDefault="00A66DA9" w:rsidP="00A66DA9">
            <w:pPr>
              <w:ind w:right="-20"/>
              <w:jc w:val="right"/>
            </w:pPr>
            <w:r w:rsidRPr="00333E4A">
              <w:t>0.00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DBC89" w14:textId="48965055" w:rsidR="00A66DA9" w:rsidRPr="00333E4A" w:rsidRDefault="00A66DA9" w:rsidP="00A66DA9">
            <w:pPr>
              <w:ind w:right="-20"/>
              <w:jc w:val="right"/>
            </w:pPr>
            <w:r w:rsidRPr="00333E4A">
              <w:t>0.00</w:t>
            </w:r>
          </w:p>
        </w:tc>
      </w:tr>
      <w:tr w:rsidR="00333E4A" w:rsidRPr="00333E4A" w14:paraId="1EFC1BFE" w14:textId="77777777" w:rsidTr="00B05627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AE00" w14:textId="77777777" w:rsidR="00A66DA9" w:rsidRPr="00333E4A" w:rsidRDefault="00A66DA9" w:rsidP="00A66DA9">
            <w:pPr>
              <w:jc w:val="center"/>
              <w:rPr>
                <w:b/>
              </w:rPr>
            </w:pPr>
            <w:r w:rsidRPr="00333E4A">
              <w:rPr>
                <w:b/>
              </w:rPr>
              <w:t>TOTAL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2DA8" w14:textId="139884BF" w:rsidR="00A66DA9" w:rsidRPr="00333E4A" w:rsidRDefault="00761281" w:rsidP="00A66DA9">
            <w:pPr>
              <w:ind w:right="-20"/>
              <w:jc w:val="right"/>
              <w:rPr>
                <w:b/>
                <w:i/>
              </w:rPr>
            </w:pPr>
            <w:r w:rsidRPr="00333E4A">
              <w:rPr>
                <w:b/>
                <w:i/>
              </w:rPr>
              <w:t>24,112.96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8962" w14:textId="773A0E32" w:rsidR="00A66DA9" w:rsidRPr="00333E4A" w:rsidRDefault="00761281" w:rsidP="00A66DA9">
            <w:pPr>
              <w:ind w:right="-20"/>
              <w:jc w:val="right"/>
              <w:rPr>
                <w:b/>
              </w:rPr>
            </w:pPr>
            <w:r w:rsidRPr="00333E4A">
              <w:rPr>
                <w:b/>
              </w:rPr>
              <w:t>311.</w:t>
            </w:r>
            <w:r w:rsidR="00527F41" w:rsidRPr="00333E4A">
              <w:rPr>
                <w:b/>
              </w:rPr>
              <w:t>9</w:t>
            </w:r>
            <w:r w:rsidR="00594411" w:rsidRPr="00333E4A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381D" w14:textId="030D9FF1" w:rsidR="00A66DA9" w:rsidRPr="00333E4A" w:rsidRDefault="00761281" w:rsidP="00A66DA9">
            <w:pPr>
              <w:ind w:right="-20"/>
              <w:jc w:val="right"/>
              <w:rPr>
                <w:b/>
                <w:bCs/>
              </w:rPr>
            </w:pPr>
            <w:r w:rsidRPr="00333E4A">
              <w:rPr>
                <w:b/>
                <w:bCs/>
              </w:rPr>
              <w:t>24,424.</w:t>
            </w:r>
            <w:r w:rsidR="001F4F38" w:rsidRPr="00333E4A">
              <w:rPr>
                <w:b/>
                <w:bCs/>
              </w:rPr>
              <w:t>92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7D43" w14:textId="4994BB9F" w:rsidR="00A66DA9" w:rsidRPr="00333E4A" w:rsidRDefault="00A66DA9" w:rsidP="00A66DA9">
            <w:pPr>
              <w:ind w:right="-20"/>
              <w:jc w:val="right"/>
              <w:rPr>
                <w:b/>
                <w:i/>
              </w:rPr>
            </w:pPr>
            <w:r w:rsidRPr="00333E4A">
              <w:rPr>
                <w:b/>
                <w:i/>
              </w:rPr>
              <w:t>9,600.72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4D2D" w14:textId="69EEAE6E" w:rsidR="00A66DA9" w:rsidRPr="00333E4A" w:rsidRDefault="00A66DA9" w:rsidP="00A66DA9">
            <w:pPr>
              <w:ind w:right="-20"/>
              <w:jc w:val="right"/>
              <w:rPr>
                <w:b/>
              </w:rPr>
            </w:pPr>
            <w:r w:rsidRPr="00333E4A">
              <w:rPr>
                <w:b/>
              </w:rPr>
              <w:t>85.86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AF62" w14:textId="04A6B2D7" w:rsidR="00A66DA9" w:rsidRPr="00333E4A" w:rsidRDefault="00A66DA9" w:rsidP="00A66DA9">
            <w:pPr>
              <w:ind w:right="-20"/>
              <w:jc w:val="right"/>
              <w:rPr>
                <w:b/>
              </w:rPr>
            </w:pPr>
            <w:r w:rsidRPr="00333E4A">
              <w:rPr>
                <w:b/>
                <w:bCs/>
              </w:rPr>
              <w:t>9,686.58</w:t>
            </w:r>
          </w:p>
        </w:tc>
      </w:tr>
    </w:tbl>
    <w:p w14:paraId="48CAAD80" w14:textId="77777777" w:rsidR="0049417D" w:rsidRPr="00333E4A" w:rsidRDefault="0049417D" w:rsidP="0049417D">
      <w:pPr>
        <w:spacing w:line="240" w:lineRule="exact"/>
        <w:ind w:right="-179" w:hanging="540"/>
        <w:jc w:val="both"/>
        <w:rPr>
          <w:b/>
        </w:rPr>
      </w:pPr>
      <w:r w:rsidRPr="00333E4A">
        <w:rPr>
          <w:b/>
        </w:rPr>
        <w:t xml:space="preserve">   </w:t>
      </w:r>
    </w:p>
    <w:p w14:paraId="226ED341" w14:textId="5A9D8754" w:rsidR="0049417D" w:rsidRPr="00333E4A" w:rsidRDefault="0049417D" w:rsidP="00665036">
      <w:pPr>
        <w:spacing w:line="276" w:lineRule="auto"/>
        <w:ind w:left="-180" w:right="-540" w:hanging="360"/>
        <w:jc w:val="both"/>
      </w:pPr>
      <w:r w:rsidRPr="00333E4A">
        <w:rPr>
          <w:b/>
        </w:rPr>
        <w:t>*</w:t>
      </w:r>
      <w:r w:rsidRPr="00333E4A">
        <w:t xml:space="preserve"> </w:t>
      </w:r>
      <w:r w:rsidRPr="00333E4A">
        <w:tab/>
        <w:t>A more detailed account is given in Statement 18- Detailed Statement of Loans and Advances given by the Government</w:t>
      </w:r>
      <w:r w:rsidR="00DA29B0" w:rsidRPr="00333E4A">
        <w:t xml:space="preserve"> </w:t>
      </w:r>
      <w:proofErr w:type="gramStart"/>
      <w:r w:rsidR="00DA29B0" w:rsidRPr="00333E4A">
        <w:t>at</w:t>
      </w:r>
      <w:proofErr w:type="gramEnd"/>
      <w:r w:rsidR="00DA29B0" w:rsidRPr="00333E4A">
        <w:t xml:space="preserve"> pages </w:t>
      </w:r>
      <w:r w:rsidR="00185C6F">
        <w:t>462</w:t>
      </w:r>
      <w:r w:rsidR="00EA2B29" w:rsidRPr="00333E4A">
        <w:t xml:space="preserve"> to </w:t>
      </w:r>
      <w:r w:rsidR="00185C6F">
        <w:t>505.</w:t>
      </w:r>
      <w:r w:rsidR="00A91014" w:rsidRPr="00333E4A">
        <w:t xml:space="preserve"> </w:t>
      </w:r>
      <w:r w:rsidRPr="00333E4A">
        <w:t xml:space="preserve">The percentage of charged expenditure and voted expenditure to total expenditure during </w:t>
      </w:r>
      <w:r w:rsidR="006C63B3" w:rsidRPr="00333E4A">
        <w:t>202</w:t>
      </w:r>
      <w:r w:rsidR="00A66DA9" w:rsidRPr="00333E4A">
        <w:t>2</w:t>
      </w:r>
      <w:r w:rsidR="006C63B3" w:rsidRPr="00333E4A">
        <w:t>-2</w:t>
      </w:r>
      <w:r w:rsidR="00A66DA9" w:rsidRPr="00333E4A">
        <w:t>3</w:t>
      </w:r>
      <w:r w:rsidRPr="00333E4A">
        <w:t xml:space="preserve"> and </w:t>
      </w:r>
      <w:r w:rsidR="006C63B3" w:rsidRPr="00333E4A">
        <w:t>202</w:t>
      </w:r>
      <w:r w:rsidR="00A66DA9" w:rsidRPr="00333E4A">
        <w:t>3</w:t>
      </w:r>
      <w:r w:rsidR="00BF7DFD" w:rsidRPr="00333E4A">
        <w:t>-</w:t>
      </w:r>
      <w:r w:rsidR="006C63B3" w:rsidRPr="00333E4A">
        <w:t>2</w:t>
      </w:r>
      <w:r w:rsidR="00A66DA9" w:rsidRPr="00333E4A">
        <w:t>4</w:t>
      </w:r>
      <w:r w:rsidR="00AF4A0D" w:rsidRPr="00333E4A">
        <w:t xml:space="preserve"> was as </w:t>
      </w:r>
      <w:proofErr w:type="gramStart"/>
      <w:r w:rsidR="00AF4A0D" w:rsidRPr="00333E4A">
        <w:t>under:</w:t>
      </w:r>
      <w:r w:rsidRPr="00333E4A">
        <w:t>-</w:t>
      </w:r>
      <w:proofErr w:type="gramEnd"/>
    </w:p>
    <w:p w14:paraId="10AB3098" w14:textId="77777777" w:rsidR="00C94916" w:rsidRPr="00333E4A" w:rsidRDefault="00C94916"/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7"/>
        <w:gridCol w:w="3202"/>
        <w:gridCol w:w="3621"/>
      </w:tblGrid>
      <w:tr w:rsidR="00333E4A" w:rsidRPr="00333E4A" w14:paraId="79C61E5A" w14:textId="77777777" w:rsidTr="00300CCB">
        <w:tc>
          <w:tcPr>
            <w:tcW w:w="3437" w:type="dxa"/>
            <w:vMerge w:val="restart"/>
            <w:vAlign w:val="center"/>
          </w:tcPr>
          <w:p w14:paraId="1273F1BE" w14:textId="77777777" w:rsidR="0049417D" w:rsidRPr="00333E4A" w:rsidRDefault="0049417D" w:rsidP="00AA3AEE">
            <w:pPr>
              <w:ind w:right="-179"/>
              <w:jc w:val="center"/>
            </w:pPr>
            <w:r w:rsidRPr="00333E4A">
              <w:rPr>
                <w:b/>
              </w:rPr>
              <w:t>Year</w:t>
            </w:r>
          </w:p>
        </w:tc>
        <w:tc>
          <w:tcPr>
            <w:tcW w:w="6823" w:type="dxa"/>
            <w:gridSpan w:val="2"/>
          </w:tcPr>
          <w:p w14:paraId="050DB42F" w14:textId="77777777" w:rsidR="0049417D" w:rsidRPr="00333E4A" w:rsidRDefault="00D00F9D" w:rsidP="00AA3AEE">
            <w:pPr>
              <w:ind w:right="-179"/>
              <w:jc w:val="center"/>
            </w:pPr>
            <w:r w:rsidRPr="00333E4A">
              <w:rPr>
                <w:b/>
              </w:rPr>
              <w:t>Percentage of To</w:t>
            </w:r>
            <w:r w:rsidR="0049417D" w:rsidRPr="00333E4A">
              <w:rPr>
                <w:b/>
              </w:rPr>
              <w:t xml:space="preserve">tal </w:t>
            </w:r>
            <w:r w:rsidRPr="00333E4A">
              <w:rPr>
                <w:b/>
              </w:rPr>
              <w:t>E</w:t>
            </w:r>
            <w:r w:rsidR="0049417D" w:rsidRPr="00333E4A">
              <w:rPr>
                <w:b/>
              </w:rPr>
              <w:t>xpenditure</w:t>
            </w:r>
          </w:p>
        </w:tc>
      </w:tr>
      <w:tr w:rsidR="00333E4A" w:rsidRPr="00333E4A" w14:paraId="7C7AF5ED" w14:textId="77777777" w:rsidTr="00300CCB">
        <w:tc>
          <w:tcPr>
            <w:tcW w:w="3437" w:type="dxa"/>
            <w:vMerge/>
          </w:tcPr>
          <w:p w14:paraId="40875423" w14:textId="77777777" w:rsidR="0049417D" w:rsidRPr="00333E4A" w:rsidRDefault="0049417D" w:rsidP="00AA3AEE">
            <w:pPr>
              <w:ind w:right="-179"/>
              <w:jc w:val="both"/>
            </w:pPr>
          </w:p>
        </w:tc>
        <w:tc>
          <w:tcPr>
            <w:tcW w:w="3202" w:type="dxa"/>
            <w:vAlign w:val="center"/>
          </w:tcPr>
          <w:p w14:paraId="22B39CDB" w14:textId="77777777" w:rsidR="0049417D" w:rsidRPr="00333E4A" w:rsidRDefault="0049417D" w:rsidP="00AA3AEE">
            <w:pPr>
              <w:jc w:val="center"/>
              <w:rPr>
                <w:b/>
              </w:rPr>
            </w:pPr>
            <w:r w:rsidRPr="00333E4A">
              <w:rPr>
                <w:b/>
              </w:rPr>
              <w:t>Charged</w:t>
            </w:r>
          </w:p>
        </w:tc>
        <w:tc>
          <w:tcPr>
            <w:tcW w:w="3621" w:type="dxa"/>
            <w:vAlign w:val="center"/>
          </w:tcPr>
          <w:p w14:paraId="5F9544BD" w14:textId="77777777" w:rsidR="0049417D" w:rsidRPr="00333E4A" w:rsidRDefault="0049417D" w:rsidP="00AA3AEE">
            <w:pPr>
              <w:jc w:val="center"/>
              <w:rPr>
                <w:b/>
              </w:rPr>
            </w:pPr>
            <w:r w:rsidRPr="00333E4A">
              <w:rPr>
                <w:b/>
              </w:rPr>
              <w:t>Voted</w:t>
            </w:r>
          </w:p>
        </w:tc>
      </w:tr>
      <w:tr w:rsidR="00333E4A" w:rsidRPr="00333E4A" w14:paraId="68A9B2E1" w14:textId="77777777" w:rsidTr="00300CCB">
        <w:tc>
          <w:tcPr>
            <w:tcW w:w="3437" w:type="dxa"/>
            <w:vAlign w:val="center"/>
          </w:tcPr>
          <w:p w14:paraId="14397B30" w14:textId="1FA6709C" w:rsidR="00A66DA9" w:rsidRPr="00333E4A" w:rsidRDefault="00A66DA9" w:rsidP="00A66DA9">
            <w:pPr>
              <w:spacing w:line="276" w:lineRule="auto"/>
              <w:jc w:val="center"/>
            </w:pPr>
            <w:r w:rsidRPr="00333E4A">
              <w:t>2022-23</w:t>
            </w:r>
          </w:p>
        </w:tc>
        <w:tc>
          <w:tcPr>
            <w:tcW w:w="3202" w:type="dxa"/>
            <w:vAlign w:val="center"/>
          </w:tcPr>
          <w:p w14:paraId="7C379E1A" w14:textId="4F3ACC77" w:rsidR="00A66DA9" w:rsidRPr="00333E4A" w:rsidRDefault="00A66DA9" w:rsidP="00A66DA9">
            <w:pPr>
              <w:spacing w:before="120" w:line="276" w:lineRule="auto"/>
              <w:jc w:val="center"/>
              <w:rPr>
                <w:i/>
              </w:rPr>
            </w:pPr>
            <w:r w:rsidRPr="00333E4A">
              <w:rPr>
                <w:i/>
              </w:rPr>
              <w:t>15.24</w:t>
            </w:r>
          </w:p>
        </w:tc>
        <w:tc>
          <w:tcPr>
            <w:tcW w:w="3621" w:type="dxa"/>
            <w:vAlign w:val="center"/>
          </w:tcPr>
          <w:p w14:paraId="7CB93817" w14:textId="1DC2C920" w:rsidR="00A66DA9" w:rsidRPr="00333E4A" w:rsidRDefault="00A66DA9" w:rsidP="00A66DA9">
            <w:pPr>
              <w:spacing w:before="120" w:line="276" w:lineRule="auto"/>
              <w:jc w:val="center"/>
            </w:pPr>
            <w:r w:rsidRPr="00333E4A">
              <w:t>84.76</w:t>
            </w:r>
          </w:p>
        </w:tc>
      </w:tr>
      <w:tr w:rsidR="00333E4A" w:rsidRPr="00333E4A" w14:paraId="3994AE0B" w14:textId="77777777" w:rsidTr="00300CCB">
        <w:tc>
          <w:tcPr>
            <w:tcW w:w="3437" w:type="dxa"/>
            <w:vAlign w:val="center"/>
          </w:tcPr>
          <w:p w14:paraId="51404A90" w14:textId="21443DC6" w:rsidR="00A66DA9" w:rsidRPr="00333E4A" w:rsidRDefault="00A66DA9" w:rsidP="00A66DA9">
            <w:pPr>
              <w:spacing w:line="276" w:lineRule="auto"/>
              <w:jc w:val="center"/>
            </w:pPr>
            <w:r w:rsidRPr="00333E4A">
              <w:t>2023-24</w:t>
            </w:r>
          </w:p>
        </w:tc>
        <w:tc>
          <w:tcPr>
            <w:tcW w:w="3202" w:type="dxa"/>
            <w:vAlign w:val="center"/>
          </w:tcPr>
          <w:p w14:paraId="2A795493" w14:textId="4DD4D30C" w:rsidR="00A66DA9" w:rsidRPr="00333E4A" w:rsidRDefault="00535509" w:rsidP="00A66DA9">
            <w:pPr>
              <w:spacing w:before="120" w:line="276" w:lineRule="auto"/>
              <w:jc w:val="center"/>
              <w:rPr>
                <w:i/>
              </w:rPr>
            </w:pPr>
            <w:r w:rsidRPr="00333E4A">
              <w:rPr>
                <w:i/>
              </w:rPr>
              <w:t>20.22</w:t>
            </w:r>
          </w:p>
        </w:tc>
        <w:tc>
          <w:tcPr>
            <w:tcW w:w="3621" w:type="dxa"/>
            <w:vAlign w:val="center"/>
          </w:tcPr>
          <w:p w14:paraId="0BAE5237" w14:textId="187D0751" w:rsidR="00A66DA9" w:rsidRPr="00333E4A" w:rsidRDefault="00535509" w:rsidP="00A66DA9">
            <w:pPr>
              <w:spacing w:before="120" w:line="276" w:lineRule="auto"/>
              <w:jc w:val="center"/>
            </w:pPr>
            <w:r w:rsidRPr="00333E4A">
              <w:t>79.78</w:t>
            </w:r>
          </w:p>
        </w:tc>
      </w:tr>
    </w:tbl>
    <w:p w14:paraId="17E5C054" w14:textId="781C00D5" w:rsidR="00027D0C" w:rsidRPr="00333E4A" w:rsidRDefault="00027D0C" w:rsidP="00F10159"/>
    <w:sectPr w:rsidR="00027D0C" w:rsidRPr="00333E4A" w:rsidSect="00333E4A">
      <w:headerReference w:type="default" r:id="rId7"/>
      <w:pgSz w:w="12240" w:h="15840"/>
      <w:pgMar w:top="1170" w:right="1440" w:bottom="709" w:left="1440" w:header="720" w:footer="720" w:gutter="0"/>
      <w:pgNumType w:start="4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540D5" w14:textId="77777777" w:rsidR="00C9498B" w:rsidRDefault="00C9498B" w:rsidP="0049417D">
      <w:r>
        <w:separator/>
      </w:r>
    </w:p>
  </w:endnote>
  <w:endnote w:type="continuationSeparator" w:id="0">
    <w:p w14:paraId="51D714A7" w14:textId="77777777" w:rsidR="00C9498B" w:rsidRDefault="00C9498B" w:rsidP="0049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3D289" w14:textId="77777777" w:rsidR="00C9498B" w:rsidRDefault="00C9498B" w:rsidP="0049417D">
      <w:r>
        <w:separator/>
      </w:r>
    </w:p>
  </w:footnote>
  <w:footnote w:type="continuationSeparator" w:id="0">
    <w:p w14:paraId="35D9860E" w14:textId="77777777" w:rsidR="00C9498B" w:rsidRDefault="00C9498B" w:rsidP="00494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106452"/>
      <w:docPartObj>
        <w:docPartGallery w:val="Page Numbers (Top of Page)"/>
        <w:docPartUnique/>
      </w:docPartObj>
    </w:sdtPr>
    <w:sdtContent>
      <w:p w14:paraId="36C8B7F7" w14:textId="262577D0" w:rsidR="009A6EAA" w:rsidRDefault="001A00E0">
        <w:pPr>
          <w:pStyle w:val="Header"/>
          <w:jc w:val="center"/>
        </w:pPr>
        <w:r>
          <w:t>4</w:t>
        </w:r>
        <w:r w:rsidR="00333E4A">
          <w:t>8</w:t>
        </w:r>
      </w:p>
    </w:sdtContent>
  </w:sdt>
  <w:p w14:paraId="4D465B44" w14:textId="77777777" w:rsidR="0049417D" w:rsidRDefault="00494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17D"/>
    <w:rsid w:val="00017B2E"/>
    <w:rsid w:val="00027D0C"/>
    <w:rsid w:val="00052ACB"/>
    <w:rsid w:val="000572A8"/>
    <w:rsid w:val="00060369"/>
    <w:rsid w:val="00093C87"/>
    <w:rsid w:val="0009778F"/>
    <w:rsid w:val="000C27AF"/>
    <w:rsid w:val="000C5B31"/>
    <w:rsid w:val="000C5BA9"/>
    <w:rsid w:val="000D01EE"/>
    <w:rsid w:val="000F62CD"/>
    <w:rsid w:val="00127136"/>
    <w:rsid w:val="00141545"/>
    <w:rsid w:val="00145620"/>
    <w:rsid w:val="0015302E"/>
    <w:rsid w:val="00164C4A"/>
    <w:rsid w:val="00170723"/>
    <w:rsid w:val="00170A74"/>
    <w:rsid w:val="00185C6F"/>
    <w:rsid w:val="00196A1F"/>
    <w:rsid w:val="001A00E0"/>
    <w:rsid w:val="001A1508"/>
    <w:rsid w:val="001A4C04"/>
    <w:rsid w:val="001A7332"/>
    <w:rsid w:val="001B5EAA"/>
    <w:rsid w:val="001C1CB3"/>
    <w:rsid w:val="001D41FA"/>
    <w:rsid w:val="001F4F38"/>
    <w:rsid w:val="00255883"/>
    <w:rsid w:val="00260304"/>
    <w:rsid w:val="00276E22"/>
    <w:rsid w:val="00283D98"/>
    <w:rsid w:val="00285AB8"/>
    <w:rsid w:val="002869A9"/>
    <w:rsid w:val="00292157"/>
    <w:rsid w:val="002A1677"/>
    <w:rsid w:val="002A5A92"/>
    <w:rsid w:val="002B04E0"/>
    <w:rsid w:val="002B2150"/>
    <w:rsid w:val="002D3AFF"/>
    <w:rsid w:val="002D544B"/>
    <w:rsid w:val="002E00E8"/>
    <w:rsid w:val="002E26CC"/>
    <w:rsid w:val="002E3EA7"/>
    <w:rsid w:val="002E5D32"/>
    <w:rsid w:val="002E78F7"/>
    <w:rsid w:val="00300CCB"/>
    <w:rsid w:val="00301048"/>
    <w:rsid w:val="00303B0A"/>
    <w:rsid w:val="00311544"/>
    <w:rsid w:val="003263B2"/>
    <w:rsid w:val="00327E70"/>
    <w:rsid w:val="00330E6A"/>
    <w:rsid w:val="00332471"/>
    <w:rsid w:val="00333E4A"/>
    <w:rsid w:val="00370395"/>
    <w:rsid w:val="00377051"/>
    <w:rsid w:val="0039548F"/>
    <w:rsid w:val="0039580C"/>
    <w:rsid w:val="003A3665"/>
    <w:rsid w:val="003A3FD4"/>
    <w:rsid w:val="003A3FDC"/>
    <w:rsid w:val="003A449F"/>
    <w:rsid w:val="003B23D0"/>
    <w:rsid w:val="003B394E"/>
    <w:rsid w:val="003D4E56"/>
    <w:rsid w:val="003D759E"/>
    <w:rsid w:val="003F7E2D"/>
    <w:rsid w:val="00413478"/>
    <w:rsid w:val="00435760"/>
    <w:rsid w:val="0045047B"/>
    <w:rsid w:val="00452E50"/>
    <w:rsid w:val="00460389"/>
    <w:rsid w:val="00461F00"/>
    <w:rsid w:val="00472547"/>
    <w:rsid w:val="00474F0F"/>
    <w:rsid w:val="00475836"/>
    <w:rsid w:val="00481819"/>
    <w:rsid w:val="00490E73"/>
    <w:rsid w:val="0049417D"/>
    <w:rsid w:val="004977F8"/>
    <w:rsid w:val="00497B21"/>
    <w:rsid w:val="004A51E3"/>
    <w:rsid w:val="004D1A64"/>
    <w:rsid w:val="004D782A"/>
    <w:rsid w:val="004F641B"/>
    <w:rsid w:val="00506C9F"/>
    <w:rsid w:val="005101A1"/>
    <w:rsid w:val="00521BDA"/>
    <w:rsid w:val="00527F41"/>
    <w:rsid w:val="0053018A"/>
    <w:rsid w:val="00535509"/>
    <w:rsid w:val="00536119"/>
    <w:rsid w:val="00537367"/>
    <w:rsid w:val="005717A5"/>
    <w:rsid w:val="00572851"/>
    <w:rsid w:val="0057649F"/>
    <w:rsid w:val="00587111"/>
    <w:rsid w:val="00594411"/>
    <w:rsid w:val="005A60A6"/>
    <w:rsid w:val="005D5ACB"/>
    <w:rsid w:val="005E45DA"/>
    <w:rsid w:val="005F0FCA"/>
    <w:rsid w:val="005F30C3"/>
    <w:rsid w:val="005F63D6"/>
    <w:rsid w:val="00604D3D"/>
    <w:rsid w:val="006115B9"/>
    <w:rsid w:val="00615085"/>
    <w:rsid w:val="006162F2"/>
    <w:rsid w:val="00616A97"/>
    <w:rsid w:val="0064146D"/>
    <w:rsid w:val="00644483"/>
    <w:rsid w:val="00646215"/>
    <w:rsid w:val="00656F88"/>
    <w:rsid w:val="00665036"/>
    <w:rsid w:val="00674F42"/>
    <w:rsid w:val="00681A83"/>
    <w:rsid w:val="00697366"/>
    <w:rsid w:val="006A3004"/>
    <w:rsid w:val="006A69DC"/>
    <w:rsid w:val="006B2930"/>
    <w:rsid w:val="006C63B3"/>
    <w:rsid w:val="006D15CD"/>
    <w:rsid w:val="006D2860"/>
    <w:rsid w:val="0074720C"/>
    <w:rsid w:val="00753C39"/>
    <w:rsid w:val="00761281"/>
    <w:rsid w:val="00761DC8"/>
    <w:rsid w:val="00772752"/>
    <w:rsid w:val="00772DD3"/>
    <w:rsid w:val="00782DF8"/>
    <w:rsid w:val="0078797C"/>
    <w:rsid w:val="007B0CA6"/>
    <w:rsid w:val="007B289B"/>
    <w:rsid w:val="007B3BFB"/>
    <w:rsid w:val="007B61C9"/>
    <w:rsid w:val="007C1C49"/>
    <w:rsid w:val="007C6302"/>
    <w:rsid w:val="007D5D73"/>
    <w:rsid w:val="007E24C1"/>
    <w:rsid w:val="007E4082"/>
    <w:rsid w:val="008104E5"/>
    <w:rsid w:val="00821DE4"/>
    <w:rsid w:val="00827848"/>
    <w:rsid w:val="00832A9C"/>
    <w:rsid w:val="00836C9C"/>
    <w:rsid w:val="00852EF9"/>
    <w:rsid w:val="00857E4B"/>
    <w:rsid w:val="00864AE2"/>
    <w:rsid w:val="00893964"/>
    <w:rsid w:val="008A7566"/>
    <w:rsid w:val="008C51D4"/>
    <w:rsid w:val="008D065F"/>
    <w:rsid w:val="008D33A9"/>
    <w:rsid w:val="008F1AA4"/>
    <w:rsid w:val="008F5F1A"/>
    <w:rsid w:val="008F66BB"/>
    <w:rsid w:val="00907FF3"/>
    <w:rsid w:val="00924D43"/>
    <w:rsid w:val="00940D6D"/>
    <w:rsid w:val="00952241"/>
    <w:rsid w:val="009548C7"/>
    <w:rsid w:val="00962896"/>
    <w:rsid w:val="009639C2"/>
    <w:rsid w:val="00976E70"/>
    <w:rsid w:val="009A027F"/>
    <w:rsid w:val="009A4C9D"/>
    <w:rsid w:val="009A6EAA"/>
    <w:rsid w:val="009B590C"/>
    <w:rsid w:val="009C42B4"/>
    <w:rsid w:val="009C64A3"/>
    <w:rsid w:val="009C6A2A"/>
    <w:rsid w:val="009F5F54"/>
    <w:rsid w:val="00A01F32"/>
    <w:rsid w:val="00A05DA8"/>
    <w:rsid w:val="00A067F4"/>
    <w:rsid w:val="00A11209"/>
    <w:rsid w:val="00A25A7B"/>
    <w:rsid w:val="00A306E1"/>
    <w:rsid w:val="00A32E34"/>
    <w:rsid w:val="00A37799"/>
    <w:rsid w:val="00A66DA9"/>
    <w:rsid w:val="00A90E25"/>
    <w:rsid w:val="00A91014"/>
    <w:rsid w:val="00AA2947"/>
    <w:rsid w:val="00AB1226"/>
    <w:rsid w:val="00AB239B"/>
    <w:rsid w:val="00AB250F"/>
    <w:rsid w:val="00AB6956"/>
    <w:rsid w:val="00AC0EB4"/>
    <w:rsid w:val="00AC17DD"/>
    <w:rsid w:val="00AD4B57"/>
    <w:rsid w:val="00AF3C14"/>
    <w:rsid w:val="00AF4A0D"/>
    <w:rsid w:val="00B05627"/>
    <w:rsid w:val="00B1691B"/>
    <w:rsid w:val="00B17F6A"/>
    <w:rsid w:val="00B271A8"/>
    <w:rsid w:val="00B27E13"/>
    <w:rsid w:val="00B36C17"/>
    <w:rsid w:val="00B42C24"/>
    <w:rsid w:val="00B45D2D"/>
    <w:rsid w:val="00B4668C"/>
    <w:rsid w:val="00B47FCC"/>
    <w:rsid w:val="00B50B33"/>
    <w:rsid w:val="00B52237"/>
    <w:rsid w:val="00B5392E"/>
    <w:rsid w:val="00B57491"/>
    <w:rsid w:val="00B614F2"/>
    <w:rsid w:val="00B74844"/>
    <w:rsid w:val="00B75A00"/>
    <w:rsid w:val="00B7602C"/>
    <w:rsid w:val="00B81884"/>
    <w:rsid w:val="00B81EE9"/>
    <w:rsid w:val="00B85D3B"/>
    <w:rsid w:val="00B869FE"/>
    <w:rsid w:val="00B967A5"/>
    <w:rsid w:val="00BC0964"/>
    <w:rsid w:val="00BD3495"/>
    <w:rsid w:val="00BF6541"/>
    <w:rsid w:val="00BF7DFD"/>
    <w:rsid w:val="00C00C45"/>
    <w:rsid w:val="00C07001"/>
    <w:rsid w:val="00C1468F"/>
    <w:rsid w:val="00C269ED"/>
    <w:rsid w:val="00C52BF3"/>
    <w:rsid w:val="00C67A83"/>
    <w:rsid w:val="00C67B4A"/>
    <w:rsid w:val="00C73F48"/>
    <w:rsid w:val="00C84D63"/>
    <w:rsid w:val="00C856BE"/>
    <w:rsid w:val="00C94916"/>
    <w:rsid w:val="00C9498B"/>
    <w:rsid w:val="00CB0416"/>
    <w:rsid w:val="00CB39A0"/>
    <w:rsid w:val="00CC0991"/>
    <w:rsid w:val="00CD15F0"/>
    <w:rsid w:val="00CD41C7"/>
    <w:rsid w:val="00CD77CB"/>
    <w:rsid w:val="00CE1605"/>
    <w:rsid w:val="00CE1B51"/>
    <w:rsid w:val="00CF223B"/>
    <w:rsid w:val="00D00F9D"/>
    <w:rsid w:val="00D026B1"/>
    <w:rsid w:val="00D05AC6"/>
    <w:rsid w:val="00D1665B"/>
    <w:rsid w:val="00D30EEC"/>
    <w:rsid w:val="00D4289F"/>
    <w:rsid w:val="00D450A4"/>
    <w:rsid w:val="00D66C77"/>
    <w:rsid w:val="00D76486"/>
    <w:rsid w:val="00DA1BCF"/>
    <w:rsid w:val="00DA29B0"/>
    <w:rsid w:val="00DB05C1"/>
    <w:rsid w:val="00DB57AD"/>
    <w:rsid w:val="00DB6F76"/>
    <w:rsid w:val="00DD382B"/>
    <w:rsid w:val="00DE18DF"/>
    <w:rsid w:val="00DE5D41"/>
    <w:rsid w:val="00E02F72"/>
    <w:rsid w:val="00E24EB5"/>
    <w:rsid w:val="00E33D45"/>
    <w:rsid w:val="00E647C5"/>
    <w:rsid w:val="00E81CC0"/>
    <w:rsid w:val="00E8258B"/>
    <w:rsid w:val="00E825A0"/>
    <w:rsid w:val="00E8526E"/>
    <w:rsid w:val="00E90788"/>
    <w:rsid w:val="00E91CE3"/>
    <w:rsid w:val="00EA2B29"/>
    <w:rsid w:val="00EA33AA"/>
    <w:rsid w:val="00ED6F1F"/>
    <w:rsid w:val="00EE4753"/>
    <w:rsid w:val="00EF79A8"/>
    <w:rsid w:val="00F10159"/>
    <w:rsid w:val="00F22726"/>
    <w:rsid w:val="00F333AC"/>
    <w:rsid w:val="00F354A1"/>
    <w:rsid w:val="00F40FC7"/>
    <w:rsid w:val="00F450E3"/>
    <w:rsid w:val="00F4548E"/>
    <w:rsid w:val="00F5739B"/>
    <w:rsid w:val="00F64B14"/>
    <w:rsid w:val="00F64F20"/>
    <w:rsid w:val="00F655A6"/>
    <w:rsid w:val="00F66164"/>
    <w:rsid w:val="00F72ACA"/>
    <w:rsid w:val="00F81FD9"/>
    <w:rsid w:val="00F879D6"/>
    <w:rsid w:val="00FA38B5"/>
    <w:rsid w:val="00FA6B45"/>
    <w:rsid w:val="00FB166E"/>
    <w:rsid w:val="00FB3963"/>
    <w:rsid w:val="00FB6125"/>
    <w:rsid w:val="00FC0279"/>
    <w:rsid w:val="00FC1402"/>
    <w:rsid w:val="00FC1CA2"/>
    <w:rsid w:val="00FC603B"/>
    <w:rsid w:val="00FE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D5438"/>
  <w15:docId w15:val="{8E0677EE-B7DA-457C-8278-37E52179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17D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9417D"/>
    <w:pPr>
      <w:keepNext/>
      <w:spacing w:before="120"/>
      <w:jc w:val="center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1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17D"/>
  </w:style>
  <w:style w:type="paragraph" w:styleId="Footer">
    <w:name w:val="footer"/>
    <w:basedOn w:val="Normal"/>
    <w:link w:val="FooterChar"/>
    <w:uiPriority w:val="99"/>
    <w:unhideWhenUsed/>
    <w:rsid w:val="004941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17D"/>
  </w:style>
  <w:style w:type="character" w:customStyle="1" w:styleId="Heading1Char">
    <w:name w:val="Heading 1 Char"/>
    <w:basedOn w:val="DefaultParagraphFont"/>
    <w:link w:val="Heading1"/>
    <w:rsid w:val="0049417D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E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EC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01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015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01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BBB6-4926-4429-8BD9-D257230F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</dc:creator>
  <cp:lastModifiedBy>State Accounts Chhattisgarh ID 9</cp:lastModifiedBy>
  <cp:revision>182</cp:revision>
  <cp:lastPrinted>2024-08-27T06:45:00Z</cp:lastPrinted>
  <dcterms:created xsi:type="dcterms:W3CDTF">2015-09-23T10:13:00Z</dcterms:created>
  <dcterms:modified xsi:type="dcterms:W3CDTF">2024-08-29T10:14:00Z</dcterms:modified>
</cp:coreProperties>
</file>